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DF48" w14:textId="77777777" w:rsidR="002C377F" w:rsidRPr="002C377F" w:rsidRDefault="002C377F" w:rsidP="00A3397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t>1. pielikums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2023. gada 22. augusta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noteikumiem </w:t>
      </w:r>
      <w:r w:rsidRPr="002C37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 476</w:t>
      </w:r>
    </w:p>
    <w:p w14:paraId="74CF68DF" w14:textId="77777777" w:rsidR="002C377F" w:rsidRPr="002C377F" w:rsidRDefault="002C377F" w:rsidP="00C37B3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C37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Skolēna mācību snieguma vērtēšana 1.-3. klasē apguves līmeņos</w:t>
      </w:r>
    </w:p>
    <w:p w14:paraId="53F732D7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 Skolēna sniegumu atbilstoši plānotajam sasniedzamajam rezultātam vērtē saskaņā ar šādiem kritērijiem:</w:t>
      </w:r>
    </w:p>
    <w:p w14:paraId="4D663773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1.1. demonstrēto zināšanu, izpratnes,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pamatprasmju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mācību jomā un caurviju prasmju apjoms un kvalitāte;</w:t>
      </w:r>
    </w:p>
    <w:p w14:paraId="656A0C58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1.2. atbalsta nepieciešamība;</w:t>
      </w:r>
    </w:p>
    <w:p w14:paraId="30687671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1.3. spēja lietot apgūto tipveida vai nepazīstamā situācijā.</w:t>
      </w:r>
    </w:p>
    <w:p w14:paraId="3294AB29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2. Skolēna mācību sniegumu 1.-3. klasē vērtē atbilstoši tabulā noteiktajiem snieguma līmeņu aprakstiem: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565"/>
        <w:gridCol w:w="1565"/>
        <w:gridCol w:w="1565"/>
        <w:gridCol w:w="1565"/>
        <w:gridCol w:w="1580"/>
      </w:tblGrid>
      <w:tr w:rsidR="002C377F" w:rsidRPr="00C37B3B" w14:paraId="0C1FBABB" w14:textId="77777777" w:rsidTr="002C377F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72322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B7DA8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0799C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Sācis apgūt (S)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63EDF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 apgūt (T)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6CBC0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Apguvis (A)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35D51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Apguvis padziļināti (P)</w:t>
            </w:r>
          </w:p>
        </w:tc>
      </w:tr>
      <w:tr w:rsidR="002C377F" w:rsidRPr="00C37B3B" w14:paraId="054C66D4" w14:textId="77777777" w:rsidTr="002C377F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B444B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7B91A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Demonstrēto zināšanu, izpratnes, </w:t>
            </w:r>
            <w:proofErr w:type="spellStart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pamatprasmju</w:t>
            </w:r>
            <w:proofErr w:type="spellEnd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mācību jomā, caurviju prasmju apjoms un kvalitāte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4FBB5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skolēna sniegums (demonstrētās zināšanas, izpratne, </w:t>
            </w:r>
            <w:proofErr w:type="spellStart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pamatprasmes</w:t>
            </w:r>
            <w:proofErr w:type="spellEnd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mācību jomā un caurviju prasmes) liecina, ka ir uzsākta plānotā sasniedzamā rezultāta apguve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8F964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skolēna sniegums (demonstrētās zināšanas, izpratne, </w:t>
            </w:r>
            <w:proofErr w:type="spellStart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pamatprasmes</w:t>
            </w:r>
            <w:proofErr w:type="spellEnd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mācību jomā un caurviju prasmes) liecina, ka plānotais sasniedzamais rezultāts sasniegts daļēji un tas nav noturīgs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4325D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skolēna sniegums (demonstrētās zināšanas, izpratne, </w:t>
            </w:r>
            <w:proofErr w:type="spellStart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pamatprasmes</w:t>
            </w:r>
            <w:proofErr w:type="spellEnd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mācību jomā un caurviju prasmes) liecina, ka plānotais sasniedzamais rezultāts sasniegts pilnībā un tas ir noturīgs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D0D19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skolēna sniegums (demonstrētās zināšanas, izpratne, </w:t>
            </w:r>
            <w:proofErr w:type="spellStart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pamatprasmes</w:t>
            </w:r>
            <w:proofErr w:type="spellEnd"/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mācību jomā un caurviju prasmes) liecina, ka plānotais sasniedzamais rezultāts sasniegts padziļināti un tas ir noturīgs</w:t>
            </w:r>
          </w:p>
        </w:tc>
      </w:tr>
      <w:tr w:rsidR="002C377F" w:rsidRPr="00C37B3B" w14:paraId="66902F4F" w14:textId="77777777" w:rsidTr="002C377F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19853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D82AA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Atbalsta nepieciešamība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A9DC8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skolēnam nepieciešams atbalsts un regulāri pedagoga apstiprinājumi uzdevuma izpildei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3DC52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skolēnam dažkārt nepieciešams pamudinājums, lai sekotu uzdevuma izpildei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80763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uzdevumu izpilda patstāvīgi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03362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uzdevumu izpilda patstāvīgi, spēj pamatot atbilstošās stratēģijas izvēli</w:t>
            </w:r>
          </w:p>
        </w:tc>
      </w:tr>
      <w:tr w:rsidR="002C377F" w:rsidRPr="00C37B3B" w14:paraId="52A37226" w14:textId="77777777" w:rsidTr="002C377F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3DB84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92D6C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Spēja lietot apgūto tipveida vai nepazīstamā situācijā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0533C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ar pedagoga atbalstu zināmā tipveida situācijā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61E2E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pārsvarā patstāvīgi tipveida situācijā, atsevišķā gadījumā - arī mazāk zināmā situācijā, ja nepieciešams, izmanto atbalsta materiālus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0AE72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gan zināmā tipveida situācijā, gan nepazīstamā situācijā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0F5D3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zināmā tipveida situācijā, nepazīstamā situācijā un starpdisciplinārā situācijā</w:t>
            </w:r>
          </w:p>
        </w:tc>
      </w:tr>
      <w:tr w:rsidR="002C377F" w:rsidRPr="00C37B3B" w14:paraId="4CEE6D85" w14:textId="77777777" w:rsidTr="002C377F">
        <w:trPr>
          <w:tblCellSpacing w:w="15" w:type="dxa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EF51E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"</w:t>
            </w:r>
          </w:p>
        </w:tc>
      </w:tr>
    </w:tbl>
    <w:p w14:paraId="71EC5730" w14:textId="77777777" w:rsidR="002C377F" w:rsidRPr="002C377F" w:rsidRDefault="002C377F" w:rsidP="002C37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12D9BE68" w14:textId="77777777" w:rsidR="002C377F" w:rsidRPr="002C377F" w:rsidRDefault="002C377F" w:rsidP="00A3397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2. pielikums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2023. gada 22. augusta</w:t>
      </w:r>
      <w:r w:rsidRPr="002C377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noteikumiem </w:t>
      </w:r>
      <w:r w:rsidRPr="008909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 476</w:t>
      </w:r>
    </w:p>
    <w:p w14:paraId="79079648" w14:textId="77777777" w:rsidR="002C377F" w:rsidRPr="002C377F" w:rsidRDefault="002C377F" w:rsidP="002C377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C37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Skolēna mācību sasniegumu vērtēšana 10 </w:t>
      </w:r>
      <w:proofErr w:type="spellStart"/>
      <w:r w:rsidRPr="002C37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ballu</w:t>
      </w:r>
      <w:proofErr w:type="spellEnd"/>
      <w:r w:rsidRPr="002C37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skalā</w:t>
      </w:r>
      <w:bookmarkStart w:id="0" w:name="_GoBack"/>
      <w:bookmarkEnd w:id="0"/>
    </w:p>
    <w:p w14:paraId="331D3E2B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 Skolēna mācību sniegumu atbilstoši plānotajam sasniedzamajam rezultātam vērtē saskaņā ar šādiem kritērijiem:</w:t>
      </w:r>
    </w:p>
    <w:p w14:paraId="03E6D4C3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1.1. demonstrēto zināšanu, izpratnes, prasmju mācību jomā un caurviju prasmju apjoms un kvalitāte;</w:t>
      </w:r>
    </w:p>
    <w:p w14:paraId="497CE7D9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1.2. atbalsta nepieciešamība;</w:t>
      </w:r>
    </w:p>
    <w:p w14:paraId="57D753B6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1.3. spēja lietot apgūto tipveida vai nepazīstamā situācijā.</w:t>
      </w:r>
    </w:p>
    <w:p w14:paraId="7AB34BD3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2. Skolēna sniegumu vērtē četros līmeņos atbilstoši šā pielikuma 1. punktā minētajiem kritērijiem un izsaka 10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ballu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skalā.</w:t>
      </w:r>
    </w:p>
    <w:p w14:paraId="4B70CE45" w14:textId="77777777" w:rsidR="002C377F" w:rsidRPr="006A12DB" w:rsidRDefault="002C377F" w:rsidP="00C37B3B">
      <w:pPr>
        <w:pStyle w:val="NoSpacing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3. Nosakot vērtējumu 10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ballu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skalā, kritērijus izvērtē kopumā. Augstāku vērtējumu viena līmeņa ietvaros nosaka, ja skolēna sniegums atbilst visiem attiecīgā līmeņa kritērijiem. </w:t>
      </w:r>
      <w:r w:rsidRPr="006A12D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10 </w:t>
      </w:r>
      <w:proofErr w:type="spellStart"/>
      <w:r w:rsidRPr="006A12DB">
        <w:rPr>
          <w:rFonts w:ascii="Times New Roman" w:hAnsi="Times New Roman" w:cs="Times New Roman"/>
          <w:bCs/>
          <w:sz w:val="24"/>
          <w:szCs w:val="24"/>
          <w:lang w:eastAsia="lv-LV"/>
        </w:rPr>
        <w:t>ballu</w:t>
      </w:r>
      <w:proofErr w:type="spellEnd"/>
      <w:r w:rsidRPr="006A12D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skalas atbilstība katram no četriem snieguma līmeņiem noteikta tabulā: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"/>
        <w:gridCol w:w="1388"/>
        <w:gridCol w:w="616"/>
        <w:gridCol w:w="912"/>
        <w:gridCol w:w="1609"/>
        <w:gridCol w:w="1609"/>
        <w:gridCol w:w="1740"/>
      </w:tblGrid>
      <w:tr w:rsidR="002C377F" w:rsidRPr="00C37B3B" w14:paraId="5D841564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6073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F4370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Snieguma līmenis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AE897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sācis apgūt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9DEF1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 apgūt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AA79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apguvis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BC57C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apguvis padziļināti</w:t>
            </w:r>
          </w:p>
        </w:tc>
      </w:tr>
      <w:tr w:rsidR="002C377F" w:rsidRPr="00C37B3B" w14:paraId="6106DA29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57406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0C3BA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Balles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17D3B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1-2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DFEED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3-4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9904F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5-6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1E1BE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7-8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E14F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9-10</w:t>
            </w:r>
          </w:p>
        </w:tc>
      </w:tr>
      <w:tr w:rsidR="002C377F" w:rsidRPr="00C37B3B" w14:paraId="1FC89BEB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C4AF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480B5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Apguves procenti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A6238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0-20 %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6B63E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21-40 %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A2F5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41-66 %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69C4F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67-86 %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740AA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87-100 %</w:t>
            </w:r>
          </w:p>
        </w:tc>
      </w:tr>
      <w:tr w:rsidR="002C377F" w:rsidRPr="00C37B3B" w14:paraId="69996C18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237E5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71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74EDE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Kritēriji </w:t>
            </w:r>
          </w:p>
        </w:tc>
      </w:tr>
      <w:tr w:rsidR="002C377F" w:rsidRPr="00C37B3B" w14:paraId="4B1DA746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4BF91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F844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demonstrēto zināšanu, izpratnes, prasmju mācību jomā un caurviju prasmju apjoms un kvalitāte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21355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izmanto vienu atbilstošu ideju vai prasmi situācijā, kurā ir šaurs disciplinārs/mācību jomas konteksts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C7A6C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izmanto vairākas savstarpēji nesaistītas idejas vai prasmes šaurā disciplinārā/mācību jomas kontekstā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15336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kurā izmanto vairākas idejas vai prasmes, veido savstarpējas sakarības disciplinārā/mācību jomas kontekstā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1E727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kurā izmanto vairākas atbilstošas idejas vai prasmes no dažādām disciplīnām/mācību jomām, veido savstarpējas sakarības un vispārina</w:t>
            </w:r>
          </w:p>
        </w:tc>
      </w:tr>
      <w:tr w:rsidR="002C377F" w:rsidRPr="00C37B3B" w14:paraId="25353709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6F5AE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F877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atbalsta nepieciešamība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7C86B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lieto doto vai jau zināmu paņēmienu ar pieejamo atbalstu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08CE2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patstāvīgi lieto zināmu paņēmienu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960A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izvēlas un patstāvīgi lieto atbilstošo paņēmienu vai pierakstu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DD29B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skolēns, demonstrējot sniegumu, izvēlas un patstāvīgi lieto atbilstošo paņēmienu un, ja nepieciešams, pielāgo to</w:t>
            </w:r>
          </w:p>
        </w:tc>
      </w:tr>
      <w:tr w:rsidR="002C377F" w:rsidRPr="00C37B3B" w14:paraId="7A6806A9" w14:textId="77777777" w:rsidTr="00C37B3B">
        <w:trPr>
          <w:tblCellSpacing w:w="15" w:type="dxa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D2CFD" w14:textId="77777777" w:rsidR="002C377F" w:rsidRPr="00C37B3B" w:rsidRDefault="002C377F" w:rsidP="002C3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39BC9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spēja lietot apgūto tipveida un nepazīstamā situācijā</w:t>
            </w:r>
          </w:p>
        </w:tc>
        <w:tc>
          <w:tcPr>
            <w:tcW w:w="9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C387F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zināmā tipveida situācijā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04F1B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gan zināmā tipveida situācijā, gan mazāk zināmā situācijā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79907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gan zināmā tipveida situācijā, gan nepazīstamā situācijā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64954" w14:textId="77777777" w:rsidR="002C377F" w:rsidRPr="00C37B3B" w:rsidRDefault="002C377F" w:rsidP="002C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37B3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skolēns demonstrē sniegumu gan zināmā tipveida situācijā, gan nepazīstamā, gan starpdisciplinārā situācijā</w:t>
            </w:r>
          </w:p>
        </w:tc>
      </w:tr>
    </w:tbl>
    <w:p w14:paraId="03D477DC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4. Pedagogs 10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ballu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skalu piemēro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summatīvās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vērtēšanas darbiem, ko veido saskaņā ar šādiem principiem:</w:t>
      </w:r>
    </w:p>
    <w:p w14:paraId="0906ED25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4.1.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summatīvās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vērtēšanas darbam jābūt tādam, lai var iegūt drošu (atkārtojot mērījumu, iegūst tādus pašus rezultātus) un ticamu rezultātu (vērtē to sasniedzamo rezultātu apguvi, kuri tika mācīti proporcionāli mācību procesā veltītajam laikam);</w:t>
      </w:r>
    </w:p>
    <w:p w14:paraId="69C45D16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4.2. skolēnam ir iespēja demonstrēt sniegumu, kas atbilst vērtējumam 10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ballu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skalā;</w:t>
      </w:r>
    </w:p>
    <w:p w14:paraId="2D33FB1F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4.3.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summatīvās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vērtēšanas darbā kopumā ir sabalansētas iespējas demonstrēt prasmes gan tipveida, gan nepazīstamā situācijā, dažādos kontekstos un skolēna izziņas darbības līmeņos;</w:t>
      </w:r>
    </w:p>
    <w:p w14:paraId="3E359DD7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4.4. lielāks punktu skaits tiek piešķirts būtiskajiem sasniedzamajiem rezultātiem un kritērijiem.</w:t>
      </w:r>
    </w:p>
    <w:p w14:paraId="29F5292F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5. Skolēna mācību sasniegumu vērtējumu mācību priekšmetā 10 </w:t>
      </w:r>
      <w:proofErr w:type="spellStart"/>
      <w:r w:rsidRPr="00C37B3B">
        <w:rPr>
          <w:rFonts w:ascii="Times New Roman" w:hAnsi="Times New Roman" w:cs="Times New Roman"/>
          <w:sz w:val="24"/>
          <w:szCs w:val="24"/>
          <w:lang w:eastAsia="lv-LV"/>
        </w:rPr>
        <w:t>ballu</w:t>
      </w:r>
      <w:proofErr w:type="spellEnd"/>
      <w:r w:rsidRPr="00C37B3B">
        <w:rPr>
          <w:rFonts w:ascii="Times New Roman" w:hAnsi="Times New Roman" w:cs="Times New Roman"/>
          <w:sz w:val="24"/>
          <w:szCs w:val="24"/>
          <w:lang w:eastAsia="lv-LV"/>
        </w:rPr>
        <w:t xml:space="preserve"> skalā atbilstoši šiem noteikumiem, plānotajiem skolēnam sasniedzamajiem rezultātiem mācību jomā, kā arī mācību priekšmeta programmai konkrētā klasē detalizētāk nosaka mācību priekšmeta pedagogs."</w:t>
      </w:r>
    </w:p>
    <w:p w14:paraId="3D39AF04" w14:textId="77777777" w:rsidR="002C377F" w:rsidRPr="00C37B3B" w:rsidRDefault="002C377F" w:rsidP="00C37B3B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C37B3B">
        <w:rPr>
          <w:rFonts w:ascii="Times New Roman" w:hAnsi="Times New Roman" w:cs="Times New Roman"/>
          <w:sz w:val="24"/>
          <w:szCs w:val="24"/>
          <w:lang w:eastAsia="lv-LV"/>
        </w:rPr>
        <w:t> </w:t>
      </w:r>
    </w:p>
    <w:p w14:paraId="3D5F093A" w14:textId="77777777" w:rsidR="00022339" w:rsidRDefault="00022339"/>
    <w:sectPr w:rsidR="00022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7F"/>
    <w:rsid w:val="00022339"/>
    <w:rsid w:val="002C377F"/>
    <w:rsid w:val="006A12DB"/>
    <w:rsid w:val="0089092F"/>
    <w:rsid w:val="00A33973"/>
    <w:rsid w:val="00C37B3B"/>
    <w:rsid w:val="00D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F26C"/>
  <w15:chartTrackingRefBased/>
  <w15:docId w15:val="{6491394F-B10F-4360-A020-2D3BD04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3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CC7-A399-4E23-A21D-7451C060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3596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Liepiņa</dc:creator>
  <cp:keywords/>
  <dc:description/>
  <cp:lastModifiedBy>Erna Liepina</cp:lastModifiedBy>
  <cp:revision>10</cp:revision>
  <cp:lastPrinted>2024-09-17T05:32:00Z</cp:lastPrinted>
  <dcterms:created xsi:type="dcterms:W3CDTF">2024-09-15T16:52:00Z</dcterms:created>
  <dcterms:modified xsi:type="dcterms:W3CDTF">2024-09-17T06:50:00Z</dcterms:modified>
</cp:coreProperties>
</file>